
<file path=[Content_Types].xml><?xml version="1.0" encoding="utf-8"?>
<Types xmlns="http://schemas.openxmlformats.org/package/2006/content-types">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A29EC" w:rsidRDefault="000A29EC">
      <w:pPr>
        <w:widowControl w:val="0"/>
        <w:pBdr>
          <w:top w:val="nil"/>
          <w:left w:val="nil"/>
          <w:bottom w:val="nil"/>
          <w:right w:val="nil"/>
          <w:between w:val="nil"/>
        </w:pBdr>
        <w:spacing w:after="0"/>
        <w:rPr>
          <w:rFonts w:ascii="Arial" w:eastAsia="Arial" w:hAnsi="Arial" w:cs="Arial"/>
          <w:color w:val="000000"/>
        </w:rPr>
      </w:pPr>
    </w:p>
    <w:p w:rsidR="00E4609A" w:rsidRDefault="00E4609A"/>
    <w:p w:rsidR="00FF23F4" w:rsidRDefault="00FF23F4">
      <w:pPr>
        <w:rPr>
          <w:rFonts w:asciiTheme="minorHAnsi" w:hAnsiTheme="minorHAnsi"/>
          <w:sz w:val="24"/>
          <w:szCs w:val="24"/>
        </w:rPr>
      </w:pPr>
    </w:p>
    <w:p w:rsidR="00BD0E31" w:rsidRPr="00E10F9E" w:rsidRDefault="00F76057" w:rsidP="00BD0E31">
      <w:pPr>
        <w:spacing w:line="240" w:lineRule="auto"/>
        <w:rPr>
          <w:rFonts w:asciiTheme="majorHAnsi" w:hAnsiTheme="majorHAnsi" w:cstheme="majorHAnsi"/>
          <w:b/>
          <w:bCs/>
          <w:i/>
          <w:iCs/>
          <w:sz w:val="32"/>
          <w:szCs w:val="32"/>
        </w:rPr>
      </w:pPr>
      <w:r w:rsidRPr="00E10F9E">
        <w:rPr>
          <w:rFonts w:asciiTheme="majorHAnsi" w:hAnsiTheme="majorHAnsi" w:cstheme="majorHAnsi"/>
          <w:b/>
          <w:bCs/>
          <w:i/>
          <w:iCs/>
          <w:sz w:val="32"/>
          <w:szCs w:val="32"/>
        </w:rPr>
        <w:t xml:space="preserve">All. A </w:t>
      </w:r>
    </w:p>
    <w:p w:rsidR="00BD0E31" w:rsidRPr="00E10F9E" w:rsidRDefault="00F76057" w:rsidP="00BD0E31">
      <w:pPr>
        <w:spacing w:line="240" w:lineRule="auto"/>
        <w:rPr>
          <w:rFonts w:asciiTheme="majorHAnsi" w:hAnsiTheme="majorHAnsi" w:cstheme="majorHAnsi"/>
          <w:b/>
          <w:bCs/>
          <w:sz w:val="32"/>
          <w:szCs w:val="32"/>
        </w:rPr>
      </w:pPr>
      <w:r w:rsidRPr="00E10F9E">
        <w:rPr>
          <w:rFonts w:asciiTheme="majorHAnsi" w:hAnsiTheme="majorHAnsi" w:cstheme="majorHAnsi"/>
          <w:b/>
          <w:bCs/>
          <w:sz w:val="32"/>
          <w:szCs w:val="32"/>
        </w:rPr>
        <w:t xml:space="preserve">Prove Invalsi studenti con Bes </w:t>
      </w:r>
    </w:p>
    <w:p w:rsidR="00BD0E31" w:rsidRPr="00BA0B45" w:rsidRDefault="00BD0E31" w:rsidP="00BD0E31">
      <w:pPr>
        <w:spacing w:line="240" w:lineRule="auto"/>
        <w:rPr>
          <w:rFonts w:asciiTheme="majorHAnsi" w:hAnsiTheme="majorHAnsi" w:cstheme="majorHAnsi"/>
          <w:b/>
          <w:bCs/>
          <w:sz w:val="24"/>
          <w:szCs w:val="24"/>
        </w:rPr>
      </w:pPr>
    </w:p>
    <w:p w:rsidR="00BD0E31" w:rsidRPr="00BA0B45" w:rsidRDefault="00F76057" w:rsidP="00BD0E31">
      <w:pPr>
        <w:spacing w:line="240" w:lineRule="auto"/>
        <w:jc w:val="both"/>
        <w:rPr>
          <w:rFonts w:asciiTheme="majorHAnsi" w:hAnsiTheme="majorHAnsi" w:cstheme="majorHAnsi"/>
          <w:sz w:val="24"/>
          <w:szCs w:val="24"/>
        </w:rPr>
      </w:pPr>
      <w:r w:rsidRPr="00BA0B45">
        <w:rPr>
          <w:rFonts w:asciiTheme="majorHAnsi" w:hAnsiTheme="majorHAnsi" w:cstheme="majorHAnsi"/>
          <w:sz w:val="24"/>
          <w:szCs w:val="24"/>
        </w:rPr>
        <w:t xml:space="preserve">Le Prove per gli allievi con certificazione ai sensi della Legge n. 104/1992 </w:t>
      </w:r>
    </w:p>
    <w:p w:rsidR="00BD0E31" w:rsidRPr="00BA0B45" w:rsidRDefault="00F76057" w:rsidP="00BD0E31">
      <w:pPr>
        <w:spacing w:line="240" w:lineRule="auto"/>
        <w:jc w:val="both"/>
        <w:rPr>
          <w:rFonts w:asciiTheme="majorHAnsi" w:hAnsiTheme="majorHAnsi" w:cstheme="majorHAnsi"/>
          <w:sz w:val="24"/>
          <w:szCs w:val="24"/>
        </w:rPr>
      </w:pPr>
      <w:r w:rsidRPr="00BA0B45">
        <w:rPr>
          <w:rFonts w:asciiTheme="majorHAnsi" w:hAnsiTheme="majorHAnsi" w:cstheme="majorHAnsi"/>
          <w:sz w:val="24"/>
          <w:szCs w:val="24"/>
        </w:rPr>
        <w:t>Nel caso il PEI lo preveda, l’alunno svolgerà le Prove INVALSI con i seguenti strumenti compensativi:</w:t>
      </w:r>
    </w:p>
    <w:p w:rsidR="00BD0E31" w:rsidRPr="00BA0B45" w:rsidRDefault="00F76057" w:rsidP="00BD0E31">
      <w:pPr>
        <w:spacing w:line="240" w:lineRule="auto"/>
        <w:jc w:val="both"/>
        <w:rPr>
          <w:rFonts w:asciiTheme="majorHAnsi" w:hAnsiTheme="majorHAnsi" w:cstheme="majorHAnsi"/>
          <w:sz w:val="24"/>
          <w:szCs w:val="24"/>
        </w:rPr>
      </w:pPr>
      <w:r w:rsidRPr="00BA0B45">
        <w:rPr>
          <w:rFonts w:asciiTheme="majorHAnsi" w:hAnsiTheme="majorHAnsi" w:cstheme="majorHAnsi"/>
          <w:sz w:val="24"/>
          <w:szCs w:val="24"/>
        </w:rPr>
        <w:t xml:space="preserve"> </w:t>
      </w:r>
      <w:r w:rsidRPr="00BA0B45">
        <w:rPr>
          <w:rFonts w:asciiTheme="majorHAnsi" w:hAnsiTheme="majorHAnsi" w:cstheme="majorHAnsi"/>
          <w:sz w:val="24"/>
          <w:szCs w:val="24"/>
        </w:rPr>
        <w:sym w:font="Symbol" w:char="F0B7"/>
      </w:r>
      <w:r w:rsidRPr="00BA0B45">
        <w:rPr>
          <w:rFonts w:asciiTheme="majorHAnsi" w:hAnsiTheme="majorHAnsi" w:cstheme="majorHAnsi"/>
          <w:sz w:val="24"/>
          <w:szCs w:val="24"/>
        </w:rPr>
        <w:t xml:space="preserve"> tempo aggiuntivo (fino a 15 min. per ciascuna prova); </w:t>
      </w:r>
    </w:p>
    <w:p w:rsidR="00BD0E31" w:rsidRPr="00BA0B45" w:rsidRDefault="00F76057" w:rsidP="00BD0E31">
      <w:pPr>
        <w:spacing w:line="240" w:lineRule="auto"/>
        <w:jc w:val="both"/>
        <w:rPr>
          <w:rFonts w:asciiTheme="majorHAnsi" w:hAnsiTheme="majorHAnsi" w:cstheme="majorHAnsi"/>
          <w:sz w:val="24"/>
          <w:szCs w:val="24"/>
        </w:rPr>
      </w:pPr>
      <w:r w:rsidRPr="00BA0B45">
        <w:rPr>
          <w:rFonts w:asciiTheme="majorHAnsi" w:hAnsiTheme="majorHAnsi" w:cstheme="majorHAnsi"/>
          <w:sz w:val="24"/>
          <w:szCs w:val="24"/>
        </w:rPr>
        <w:sym w:font="Symbol" w:char="F0B7"/>
      </w:r>
      <w:r w:rsidRPr="00BA0B45">
        <w:rPr>
          <w:rFonts w:asciiTheme="majorHAnsi" w:hAnsiTheme="majorHAnsi" w:cstheme="majorHAnsi"/>
          <w:sz w:val="24"/>
          <w:szCs w:val="24"/>
        </w:rPr>
        <w:t xml:space="preserve"> donatore di voce per l’ascolto individuale in audio-cuffia; </w:t>
      </w:r>
    </w:p>
    <w:p w:rsidR="00BD0E31" w:rsidRPr="00BA0B45" w:rsidRDefault="00F76057" w:rsidP="00BD0E31">
      <w:pPr>
        <w:spacing w:line="240" w:lineRule="auto"/>
        <w:jc w:val="both"/>
        <w:rPr>
          <w:rFonts w:asciiTheme="majorHAnsi" w:hAnsiTheme="majorHAnsi" w:cstheme="majorHAnsi"/>
          <w:sz w:val="24"/>
          <w:szCs w:val="24"/>
        </w:rPr>
      </w:pPr>
      <w:r w:rsidRPr="00BA0B45">
        <w:rPr>
          <w:rFonts w:asciiTheme="majorHAnsi" w:hAnsiTheme="majorHAnsi" w:cstheme="majorHAnsi"/>
          <w:sz w:val="24"/>
          <w:szCs w:val="24"/>
        </w:rPr>
        <w:sym w:font="Symbol" w:char="F0B7"/>
      </w:r>
      <w:r w:rsidRPr="00BA0B45">
        <w:rPr>
          <w:rFonts w:asciiTheme="majorHAnsi" w:hAnsiTheme="majorHAnsi" w:cstheme="majorHAnsi"/>
          <w:sz w:val="24"/>
          <w:szCs w:val="24"/>
        </w:rPr>
        <w:t xml:space="preserve"> calcolatrice e/o dizionario; </w:t>
      </w:r>
    </w:p>
    <w:p w:rsidR="00BD0E31" w:rsidRPr="00BA0B45" w:rsidRDefault="00F76057" w:rsidP="00BD0E31">
      <w:pPr>
        <w:spacing w:line="240" w:lineRule="auto"/>
        <w:rPr>
          <w:rFonts w:asciiTheme="majorHAnsi" w:hAnsiTheme="majorHAnsi" w:cstheme="majorHAnsi"/>
          <w:sz w:val="24"/>
          <w:szCs w:val="24"/>
        </w:rPr>
      </w:pPr>
      <w:r w:rsidRPr="00BA0B45">
        <w:rPr>
          <w:rFonts w:asciiTheme="majorHAnsi" w:hAnsiTheme="majorHAnsi" w:cstheme="majorHAnsi"/>
          <w:sz w:val="24"/>
          <w:szCs w:val="24"/>
        </w:rPr>
        <w:sym w:font="Symbol" w:char="F0B7"/>
      </w:r>
      <w:r w:rsidRPr="00BA0B45">
        <w:rPr>
          <w:rFonts w:asciiTheme="majorHAnsi" w:hAnsiTheme="majorHAnsi" w:cstheme="majorHAnsi"/>
          <w:sz w:val="24"/>
          <w:szCs w:val="24"/>
        </w:rPr>
        <w:t xml:space="preserve"> ingrandimento;</w:t>
      </w:r>
    </w:p>
    <w:p w:rsidR="00BD0E31" w:rsidRPr="00BA0B45" w:rsidRDefault="00F76057" w:rsidP="00BD0E31">
      <w:pPr>
        <w:spacing w:line="240" w:lineRule="auto"/>
        <w:rPr>
          <w:rFonts w:asciiTheme="majorHAnsi" w:hAnsiTheme="majorHAnsi" w:cstheme="majorHAnsi"/>
          <w:sz w:val="24"/>
          <w:szCs w:val="24"/>
        </w:rPr>
      </w:pPr>
      <w:r w:rsidRPr="00BA0B45">
        <w:rPr>
          <w:rFonts w:asciiTheme="majorHAnsi" w:hAnsiTheme="majorHAnsi" w:cstheme="majorHAnsi"/>
          <w:sz w:val="24"/>
          <w:szCs w:val="24"/>
        </w:rPr>
        <w:t xml:space="preserve"> </w:t>
      </w:r>
      <w:r w:rsidRPr="00BA0B45">
        <w:rPr>
          <w:rFonts w:asciiTheme="majorHAnsi" w:hAnsiTheme="majorHAnsi" w:cstheme="majorHAnsi"/>
          <w:sz w:val="24"/>
          <w:szCs w:val="24"/>
        </w:rPr>
        <w:sym w:font="Symbol" w:char="F0B7"/>
      </w:r>
      <w:r w:rsidRPr="00BA0B45">
        <w:rPr>
          <w:rFonts w:asciiTheme="majorHAnsi" w:hAnsiTheme="majorHAnsi" w:cstheme="majorHAnsi"/>
          <w:sz w:val="24"/>
          <w:szCs w:val="24"/>
        </w:rPr>
        <w:t xml:space="preserve"> adattamento prova per alunni sordi; </w:t>
      </w:r>
    </w:p>
    <w:p w:rsidR="00BD0E31" w:rsidRPr="00BA0B45" w:rsidRDefault="00F76057" w:rsidP="00BD0E31">
      <w:pPr>
        <w:spacing w:line="240" w:lineRule="auto"/>
        <w:rPr>
          <w:rFonts w:asciiTheme="majorHAnsi" w:hAnsiTheme="majorHAnsi" w:cstheme="majorHAnsi"/>
          <w:sz w:val="24"/>
          <w:szCs w:val="24"/>
        </w:rPr>
      </w:pPr>
      <w:r w:rsidRPr="00BA0B45">
        <w:rPr>
          <w:rFonts w:asciiTheme="majorHAnsi" w:hAnsiTheme="majorHAnsi" w:cstheme="majorHAnsi"/>
          <w:sz w:val="24"/>
          <w:szCs w:val="24"/>
        </w:rPr>
        <w:sym w:font="Symbol" w:char="F0B7"/>
      </w:r>
      <w:r w:rsidRPr="00BA0B45">
        <w:rPr>
          <w:rFonts w:asciiTheme="majorHAnsi" w:hAnsiTheme="majorHAnsi" w:cstheme="majorHAnsi"/>
          <w:sz w:val="24"/>
          <w:szCs w:val="24"/>
        </w:rPr>
        <w:t xml:space="preserve"> Braille – per Italiano e Matematica. </w:t>
      </w:r>
    </w:p>
    <w:p w:rsidR="00BD0E31" w:rsidRPr="00BA0B45" w:rsidRDefault="00F76057" w:rsidP="00BD0E31">
      <w:pPr>
        <w:spacing w:line="240" w:lineRule="auto"/>
        <w:jc w:val="both"/>
        <w:rPr>
          <w:rFonts w:asciiTheme="majorHAnsi" w:hAnsiTheme="majorHAnsi" w:cstheme="majorHAnsi"/>
          <w:sz w:val="24"/>
          <w:szCs w:val="24"/>
        </w:rPr>
      </w:pPr>
      <w:r w:rsidRPr="00BA0B45">
        <w:rPr>
          <w:rFonts w:asciiTheme="majorHAnsi" w:hAnsiTheme="majorHAnsi" w:cstheme="majorHAnsi"/>
          <w:sz w:val="24"/>
          <w:szCs w:val="24"/>
        </w:rPr>
        <w:t>Sempre se previsto nel PEI possono essere applicate le seguenti misure dispensative:</w:t>
      </w:r>
    </w:p>
    <w:p w:rsidR="00BD0E31" w:rsidRPr="00BA0B45" w:rsidRDefault="00F76057" w:rsidP="00BD0E31">
      <w:pPr>
        <w:spacing w:line="240" w:lineRule="auto"/>
        <w:jc w:val="both"/>
        <w:rPr>
          <w:rFonts w:asciiTheme="majorHAnsi" w:hAnsiTheme="majorHAnsi" w:cstheme="majorHAnsi"/>
          <w:sz w:val="24"/>
          <w:szCs w:val="24"/>
        </w:rPr>
      </w:pPr>
      <w:r w:rsidRPr="00BA0B45">
        <w:rPr>
          <w:rFonts w:asciiTheme="majorHAnsi" w:hAnsiTheme="majorHAnsi" w:cstheme="majorHAnsi"/>
          <w:sz w:val="24"/>
          <w:szCs w:val="24"/>
        </w:rPr>
        <w:t xml:space="preserve"> </w:t>
      </w:r>
      <w:r w:rsidRPr="00BA0B45">
        <w:rPr>
          <w:rFonts w:asciiTheme="majorHAnsi" w:hAnsiTheme="majorHAnsi" w:cstheme="majorHAnsi"/>
          <w:sz w:val="24"/>
          <w:szCs w:val="24"/>
        </w:rPr>
        <w:sym w:font="Symbol" w:char="F0B7"/>
      </w:r>
      <w:r w:rsidRPr="00BA0B45">
        <w:rPr>
          <w:rFonts w:asciiTheme="majorHAnsi" w:hAnsiTheme="majorHAnsi" w:cstheme="majorHAnsi"/>
          <w:sz w:val="24"/>
          <w:szCs w:val="24"/>
        </w:rPr>
        <w:t xml:space="preserve"> esonero da una o più Prove INVALSI; </w:t>
      </w:r>
    </w:p>
    <w:p w:rsidR="00BD0E31" w:rsidRPr="00BA0B45" w:rsidRDefault="00F76057" w:rsidP="00BD0E31">
      <w:pPr>
        <w:spacing w:line="240" w:lineRule="auto"/>
        <w:jc w:val="both"/>
        <w:rPr>
          <w:rFonts w:asciiTheme="majorHAnsi" w:hAnsiTheme="majorHAnsi" w:cstheme="majorHAnsi"/>
          <w:sz w:val="24"/>
          <w:szCs w:val="24"/>
        </w:rPr>
      </w:pPr>
      <w:r w:rsidRPr="00BA0B45">
        <w:rPr>
          <w:rFonts w:asciiTheme="majorHAnsi" w:hAnsiTheme="majorHAnsi" w:cstheme="majorHAnsi"/>
          <w:sz w:val="24"/>
          <w:szCs w:val="24"/>
        </w:rPr>
        <w:sym w:font="Symbol" w:char="F0B7"/>
      </w:r>
      <w:r w:rsidRPr="00BA0B45">
        <w:rPr>
          <w:rFonts w:asciiTheme="majorHAnsi" w:hAnsiTheme="majorHAnsi" w:cstheme="majorHAnsi"/>
          <w:sz w:val="24"/>
          <w:szCs w:val="24"/>
        </w:rPr>
        <w:t xml:space="preserve"> esonero da una delle due parti (ascolto o lettura) della Prova di Inglese.</w:t>
      </w:r>
    </w:p>
    <w:p w:rsidR="00BD0E31" w:rsidRPr="00BA0B45" w:rsidRDefault="00F76057" w:rsidP="00BD0E31">
      <w:pPr>
        <w:spacing w:line="240" w:lineRule="auto"/>
        <w:jc w:val="both"/>
        <w:rPr>
          <w:rFonts w:asciiTheme="majorHAnsi" w:hAnsiTheme="majorHAnsi" w:cstheme="majorHAnsi"/>
          <w:sz w:val="24"/>
          <w:szCs w:val="24"/>
        </w:rPr>
      </w:pPr>
      <w:r w:rsidRPr="00BA0B45">
        <w:rPr>
          <w:rFonts w:asciiTheme="majorHAnsi" w:hAnsiTheme="majorHAnsi" w:cstheme="majorHAnsi"/>
          <w:sz w:val="24"/>
          <w:szCs w:val="24"/>
        </w:rPr>
        <w:t xml:space="preserve"> Gli allievi dispensati da una o più Prove o che sostengono prove differenziate secondo quanto previsto dal consiglio di classe, ad esempio nel formato per sordi o in Braille, non ricevono al termine del primo e del secondo ciclo di studi la descrizione dei livelli di apprendimento da parte dell’INVALSI. Cfr. </w:t>
      </w:r>
      <w:proofErr w:type="spellStart"/>
      <w:r w:rsidRPr="00BA0B45">
        <w:rPr>
          <w:rFonts w:asciiTheme="majorHAnsi" w:hAnsiTheme="majorHAnsi" w:cstheme="majorHAnsi"/>
          <w:sz w:val="24"/>
          <w:szCs w:val="24"/>
        </w:rPr>
        <w:t>D.Lgs</w:t>
      </w:r>
      <w:proofErr w:type="spellEnd"/>
      <w:r w:rsidRPr="00BA0B45">
        <w:rPr>
          <w:rFonts w:asciiTheme="majorHAnsi" w:hAnsiTheme="majorHAnsi" w:cstheme="majorHAnsi"/>
          <w:sz w:val="24"/>
          <w:szCs w:val="24"/>
        </w:rPr>
        <w:t xml:space="preserve"> n. 62/2017, art. 20, c. 8. </w:t>
      </w:r>
    </w:p>
    <w:p w:rsidR="00BD0E31" w:rsidRPr="00BA0B45" w:rsidRDefault="00F76057" w:rsidP="00BD0E31">
      <w:pPr>
        <w:spacing w:line="240" w:lineRule="auto"/>
        <w:jc w:val="both"/>
        <w:rPr>
          <w:rFonts w:asciiTheme="majorHAnsi" w:hAnsiTheme="majorHAnsi" w:cstheme="majorHAnsi"/>
          <w:sz w:val="24"/>
          <w:szCs w:val="24"/>
        </w:rPr>
      </w:pPr>
      <w:r w:rsidRPr="00BA0B45">
        <w:rPr>
          <w:rFonts w:asciiTheme="majorHAnsi" w:hAnsiTheme="majorHAnsi" w:cstheme="majorHAnsi"/>
          <w:sz w:val="24"/>
          <w:szCs w:val="24"/>
        </w:rPr>
        <w:t xml:space="preserve">Le Prove per gli allievi con certificazione ai sensi della Legge n. 170/2010 (DSA) </w:t>
      </w:r>
    </w:p>
    <w:p w:rsidR="00BA0B45" w:rsidRDefault="00F76057" w:rsidP="00BD0E31">
      <w:pPr>
        <w:spacing w:line="240" w:lineRule="auto"/>
        <w:jc w:val="both"/>
        <w:rPr>
          <w:rFonts w:asciiTheme="majorHAnsi" w:hAnsiTheme="majorHAnsi" w:cstheme="majorHAnsi"/>
          <w:sz w:val="24"/>
          <w:szCs w:val="24"/>
        </w:rPr>
      </w:pPr>
      <w:r w:rsidRPr="00BA0B45">
        <w:rPr>
          <w:rFonts w:asciiTheme="majorHAnsi" w:hAnsiTheme="majorHAnsi" w:cstheme="majorHAnsi"/>
          <w:sz w:val="24"/>
          <w:szCs w:val="24"/>
        </w:rPr>
        <w:t xml:space="preserve">Nel caso il PDP lo preveda, l’alunno svolgerà le Prove INVALSI con i seguenti strumenti compensativi: </w:t>
      </w:r>
    </w:p>
    <w:p w:rsidR="00BD0E31" w:rsidRPr="00BA0B45" w:rsidRDefault="00F76057" w:rsidP="00BD0E31">
      <w:pPr>
        <w:spacing w:line="240" w:lineRule="auto"/>
        <w:jc w:val="both"/>
        <w:rPr>
          <w:rFonts w:asciiTheme="majorHAnsi" w:hAnsiTheme="majorHAnsi" w:cstheme="majorHAnsi"/>
          <w:sz w:val="24"/>
          <w:szCs w:val="24"/>
        </w:rPr>
      </w:pPr>
      <w:r w:rsidRPr="00BA0B45">
        <w:rPr>
          <w:rFonts w:asciiTheme="majorHAnsi" w:hAnsiTheme="majorHAnsi" w:cstheme="majorHAnsi"/>
          <w:sz w:val="24"/>
          <w:szCs w:val="24"/>
        </w:rPr>
        <w:sym w:font="Symbol" w:char="F0B7"/>
      </w:r>
      <w:r w:rsidRPr="00BA0B45">
        <w:rPr>
          <w:rFonts w:asciiTheme="majorHAnsi" w:hAnsiTheme="majorHAnsi" w:cstheme="majorHAnsi"/>
          <w:sz w:val="24"/>
          <w:szCs w:val="24"/>
        </w:rPr>
        <w:t xml:space="preserve"> tempo aggiuntivo (fino a 15 min. per ciascuna prova); </w:t>
      </w:r>
    </w:p>
    <w:p w:rsidR="00BD0E31" w:rsidRPr="00BA0B45" w:rsidRDefault="00F76057" w:rsidP="00BD0E31">
      <w:pPr>
        <w:spacing w:line="240" w:lineRule="auto"/>
        <w:jc w:val="both"/>
        <w:rPr>
          <w:rFonts w:asciiTheme="majorHAnsi" w:hAnsiTheme="majorHAnsi" w:cstheme="majorHAnsi"/>
          <w:sz w:val="24"/>
          <w:szCs w:val="24"/>
        </w:rPr>
      </w:pPr>
      <w:r w:rsidRPr="00BA0B45">
        <w:rPr>
          <w:rFonts w:asciiTheme="majorHAnsi" w:hAnsiTheme="majorHAnsi" w:cstheme="majorHAnsi"/>
          <w:sz w:val="24"/>
          <w:szCs w:val="24"/>
        </w:rPr>
        <w:sym w:font="Symbol" w:char="F0B7"/>
      </w:r>
      <w:r w:rsidRPr="00BA0B45">
        <w:rPr>
          <w:rFonts w:asciiTheme="majorHAnsi" w:hAnsiTheme="majorHAnsi" w:cstheme="majorHAnsi"/>
          <w:sz w:val="24"/>
          <w:szCs w:val="24"/>
        </w:rPr>
        <w:t xml:space="preserve"> dizionario e/o calcolatrice; </w:t>
      </w:r>
    </w:p>
    <w:p w:rsidR="00BD0E31" w:rsidRPr="00BA0B45" w:rsidRDefault="00F76057" w:rsidP="00BD0E31">
      <w:pPr>
        <w:spacing w:line="240" w:lineRule="auto"/>
        <w:jc w:val="both"/>
        <w:rPr>
          <w:rFonts w:asciiTheme="majorHAnsi" w:hAnsiTheme="majorHAnsi" w:cstheme="majorHAnsi"/>
          <w:sz w:val="24"/>
          <w:szCs w:val="24"/>
        </w:rPr>
      </w:pPr>
      <w:r w:rsidRPr="00BA0B45">
        <w:rPr>
          <w:rFonts w:asciiTheme="majorHAnsi" w:hAnsiTheme="majorHAnsi" w:cstheme="majorHAnsi"/>
          <w:sz w:val="24"/>
          <w:szCs w:val="24"/>
        </w:rPr>
        <w:sym w:font="Symbol" w:char="F0B7"/>
      </w:r>
      <w:r w:rsidRPr="00BA0B45">
        <w:rPr>
          <w:rFonts w:asciiTheme="majorHAnsi" w:hAnsiTheme="majorHAnsi" w:cstheme="majorHAnsi"/>
          <w:sz w:val="24"/>
          <w:szCs w:val="24"/>
        </w:rPr>
        <w:t xml:space="preserve"> donatore di voce per l’ascolto individuale in audio-cuffia. </w:t>
      </w:r>
    </w:p>
    <w:p w:rsidR="00BA0B45" w:rsidRDefault="00F76057" w:rsidP="00BD0E31">
      <w:pPr>
        <w:spacing w:line="240" w:lineRule="auto"/>
        <w:jc w:val="both"/>
        <w:rPr>
          <w:rFonts w:asciiTheme="majorHAnsi" w:hAnsiTheme="majorHAnsi" w:cstheme="majorHAnsi"/>
          <w:sz w:val="24"/>
          <w:szCs w:val="24"/>
        </w:rPr>
      </w:pPr>
      <w:r w:rsidRPr="00BA0B45">
        <w:rPr>
          <w:rFonts w:asciiTheme="majorHAnsi" w:hAnsiTheme="majorHAnsi" w:cstheme="majorHAnsi"/>
          <w:sz w:val="24"/>
          <w:szCs w:val="24"/>
        </w:rPr>
        <w:t xml:space="preserve">Misure dispensative: se il PDP prevede l’esonero dalla prova scritta di lingua straniera o dall’insegnamento della lingua straniera, lo studente con DSA non svolge la prova di lettura o di ascolto oppure l’intera Prova nazionale. Gli alunni dispensati da una o da entrambe le Prove di </w:t>
      </w:r>
      <w:r w:rsidRPr="00BA0B45">
        <w:rPr>
          <w:rFonts w:asciiTheme="majorHAnsi" w:hAnsiTheme="majorHAnsi" w:cstheme="majorHAnsi"/>
          <w:sz w:val="24"/>
          <w:szCs w:val="24"/>
        </w:rPr>
        <w:lastRenderedPageBreak/>
        <w:t xml:space="preserve">Inglese non ricevono al termine del primo e del secondo ciclo di studi la descrizione dei livelli di apprendimento da parte dell’INVALSI. Cfr. </w:t>
      </w:r>
      <w:proofErr w:type="spellStart"/>
      <w:r w:rsidRPr="00BA0B45">
        <w:rPr>
          <w:rFonts w:asciiTheme="majorHAnsi" w:hAnsiTheme="majorHAnsi" w:cstheme="majorHAnsi"/>
          <w:sz w:val="24"/>
          <w:szCs w:val="24"/>
        </w:rPr>
        <w:t>D.Lgs</w:t>
      </w:r>
      <w:proofErr w:type="spellEnd"/>
      <w:r w:rsidRPr="00BA0B45">
        <w:rPr>
          <w:rFonts w:asciiTheme="majorHAnsi" w:hAnsiTheme="majorHAnsi" w:cstheme="majorHAnsi"/>
          <w:sz w:val="24"/>
          <w:szCs w:val="24"/>
        </w:rPr>
        <w:t xml:space="preserve"> n. 62/2017, art. 20, c. 14. </w:t>
      </w:r>
    </w:p>
    <w:p w:rsidR="00BD0E31" w:rsidRPr="00BA0B45" w:rsidRDefault="00F76057" w:rsidP="00BD0E31">
      <w:pPr>
        <w:spacing w:line="240" w:lineRule="auto"/>
        <w:jc w:val="both"/>
        <w:rPr>
          <w:rFonts w:asciiTheme="majorHAnsi" w:hAnsiTheme="majorHAnsi" w:cstheme="majorHAnsi"/>
          <w:sz w:val="24"/>
          <w:szCs w:val="24"/>
        </w:rPr>
      </w:pPr>
      <w:r w:rsidRPr="00BA0B45">
        <w:rPr>
          <w:rFonts w:asciiTheme="majorHAnsi" w:hAnsiTheme="majorHAnsi" w:cstheme="majorHAnsi"/>
          <w:sz w:val="24"/>
          <w:szCs w:val="24"/>
        </w:rPr>
        <w:t>Le Prove per gli allievi con BES con certificazione clinica Per quanto riguarda gli alunni con bisogni educativi speciali (BES) che non rientrano nelle tutele della legge n. 104/1992 e della legge n. 170/2010, ma sono comunque in possesso di una certificazione clinica (Diagnosi di ADHD, Borderline cognitivi, altri disturbi evolutivi specifici), svolgono le prove INVALSI senza misure dispensative, con la sola possibilità di avvalersi di strumenti compensativi, qualora siano stati indicati nel PDP ed effettivamente utilizzati in corso d'anno.</w:t>
      </w:r>
    </w:p>
    <w:p w:rsidR="00BD0E31" w:rsidRPr="00BA0B45" w:rsidRDefault="00F76057" w:rsidP="00BD0E31">
      <w:pPr>
        <w:spacing w:line="240" w:lineRule="auto"/>
        <w:jc w:val="both"/>
        <w:rPr>
          <w:rFonts w:asciiTheme="majorHAnsi" w:hAnsiTheme="majorHAnsi" w:cstheme="majorHAnsi"/>
          <w:sz w:val="24"/>
          <w:szCs w:val="24"/>
        </w:rPr>
      </w:pPr>
      <w:r w:rsidRPr="00BA0B45">
        <w:rPr>
          <w:rFonts w:asciiTheme="majorHAnsi" w:hAnsiTheme="majorHAnsi" w:cstheme="majorHAnsi"/>
          <w:sz w:val="24"/>
          <w:szCs w:val="24"/>
        </w:rPr>
        <w:t xml:space="preserve"> Cfr. Nota MIUR 5772 del 04/04/2019.</w:t>
      </w:r>
    </w:p>
    <w:p w:rsidR="00BD0E31" w:rsidRPr="00BA0B45" w:rsidRDefault="00F76057" w:rsidP="00BD0E31">
      <w:pPr>
        <w:spacing w:line="240" w:lineRule="auto"/>
        <w:jc w:val="both"/>
        <w:rPr>
          <w:rFonts w:asciiTheme="majorHAnsi" w:hAnsiTheme="majorHAnsi" w:cstheme="majorHAnsi"/>
          <w:b/>
          <w:bCs/>
          <w:sz w:val="24"/>
          <w:szCs w:val="24"/>
        </w:rPr>
      </w:pPr>
      <w:r w:rsidRPr="00BA0B45">
        <w:rPr>
          <w:rFonts w:asciiTheme="majorHAnsi" w:hAnsiTheme="majorHAnsi" w:cstheme="majorHAnsi"/>
          <w:sz w:val="24"/>
          <w:szCs w:val="24"/>
        </w:rPr>
        <w:t xml:space="preserve"> </w:t>
      </w:r>
      <w:r w:rsidRPr="00BA0B45">
        <w:rPr>
          <w:rFonts w:asciiTheme="majorHAnsi" w:hAnsiTheme="majorHAnsi" w:cstheme="majorHAnsi"/>
          <w:b/>
          <w:bCs/>
          <w:sz w:val="24"/>
          <w:szCs w:val="24"/>
        </w:rPr>
        <w:t>Le Prove per gli allievi con BES senza certificazione</w:t>
      </w:r>
    </w:p>
    <w:p w:rsidR="00BD0E31" w:rsidRPr="00BA0B45" w:rsidRDefault="00F76057" w:rsidP="00BD0E31">
      <w:pPr>
        <w:spacing w:line="240" w:lineRule="auto"/>
        <w:jc w:val="both"/>
        <w:rPr>
          <w:rFonts w:asciiTheme="majorHAnsi" w:hAnsiTheme="majorHAnsi" w:cstheme="majorHAnsi"/>
          <w:sz w:val="24"/>
          <w:szCs w:val="24"/>
        </w:rPr>
      </w:pPr>
      <w:r w:rsidRPr="00BA0B45">
        <w:rPr>
          <w:rFonts w:asciiTheme="majorHAnsi" w:hAnsiTheme="majorHAnsi" w:cstheme="majorHAnsi"/>
          <w:sz w:val="24"/>
          <w:szCs w:val="24"/>
        </w:rPr>
        <w:t xml:space="preserve"> Gli alunni con BES non certificati né ai sensi della legge n. 104/1992 (alunni diversabili), né ai sensi della Legge n. 170/2010 (DSA) svolgono regolarmente le Prove INVALSI nel loro formato standard e senza l’applicazione di alcuna misura compensativa e/o dispensativa. </w:t>
      </w:r>
    </w:p>
    <w:p w:rsidR="00BD0E31" w:rsidRPr="00BA0B45" w:rsidRDefault="00BD0E31" w:rsidP="00BD0E31">
      <w:pPr>
        <w:spacing w:line="240" w:lineRule="auto"/>
        <w:jc w:val="both"/>
        <w:rPr>
          <w:rFonts w:asciiTheme="majorHAnsi" w:hAnsiTheme="majorHAnsi" w:cstheme="majorHAnsi"/>
          <w:sz w:val="24"/>
          <w:szCs w:val="24"/>
        </w:rPr>
      </w:pPr>
    </w:p>
    <w:p w:rsidR="00BD0E31" w:rsidRPr="00BA0B45" w:rsidRDefault="00BD0E31" w:rsidP="00BD0E31">
      <w:pPr>
        <w:spacing w:line="240" w:lineRule="auto"/>
        <w:jc w:val="both"/>
        <w:rPr>
          <w:rFonts w:asciiTheme="majorHAnsi" w:hAnsiTheme="majorHAnsi" w:cstheme="majorHAnsi"/>
          <w:sz w:val="24"/>
          <w:szCs w:val="24"/>
        </w:rPr>
      </w:pPr>
    </w:p>
    <w:p w:rsidR="00BD0E31" w:rsidRPr="00BA0B45" w:rsidRDefault="00BD0E31" w:rsidP="00BD0E31">
      <w:pPr>
        <w:spacing w:line="240" w:lineRule="auto"/>
        <w:jc w:val="both"/>
        <w:rPr>
          <w:rFonts w:asciiTheme="majorHAnsi" w:hAnsiTheme="majorHAnsi" w:cstheme="majorHAnsi"/>
          <w:sz w:val="24"/>
          <w:szCs w:val="24"/>
        </w:rPr>
      </w:pPr>
    </w:p>
    <w:p w:rsidR="00BD0E31" w:rsidRPr="00BA0B45" w:rsidRDefault="00BD0E31" w:rsidP="00BD0E31">
      <w:pPr>
        <w:spacing w:line="240" w:lineRule="auto"/>
        <w:jc w:val="both"/>
        <w:rPr>
          <w:rFonts w:asciiTheme="majorHAnsi" w:hAnsiTheme="majorHAnsi" w:cstheme="majorHAnsi"/>
          <w:sz w:val="24"/>
          <w:szCs w:val="24"/>
        </w:rPr>
      </w:pPr>
    </w:p>
    <w:p w:rsidR="00BD0E31" w:rsidRPr="00BA0B45" w:rsidRDefault="00BD0E31" w:rsidP="00BD0E31">
      <w:pPr>
        <w:spacing w:line="240" w:lineRule="auto"/>
        <w:jc w:val="both"/>
        <w:rPr>
          <w:rFonts w:asciiTheme="majorHAnsi" w:hAnsiTheme="majorHAnsi" w:cstheme="majorHAnsi"/>
          <w:sz w:val="24"/>
          <w:szCs w:val="24"/>
        </w:rPr>
      </w:pPr>
    </w:p>
    <w:p w:rsidR="00BD0E31" w:rsidRPr="00BA0B45" w:rsidRDefault="00BD0E31" w:rsidP="00BD0E31">
      <w:pPr>
        <w:spacing w:line="240" w:lineRule="auto"/>
        <w:jc w:val="both"/>
        <w:rPr>
          <w:rFonts w:asciiTheme="majorHAnsi" w:hAnsiTheme="majorHAnsi" w:cstheme="majorHAnsi"/>
          <w:sz w:val="24"/>
          <w:szCs w:val="24"/>
        </w:rPr>
      </w:pPr>
    </w:p>
    <w:p w:rsidR="00BD0E31" w:rsidRPr="00BA0B45" w:rsidRDefault="00BD0E31" w:rsidP="00BD0E31">
      <w:pPr>
        <w:spacing w:line="240" w:lineRule="auto"/>
        <w:jc w:val="both"/>
        <w:rPr>
          <w:rFonts w:asciiTheme="majorHAnsi" w:hAnsiTheme="majorHAnsi" w:cstheme="majorHAnsi"/>
          <w:sz w:val="24"/>
          <w:szCs w:val="24"/>
        </w:rPr>
      </w:pPr>
    </w:p>
    <w:p w:rsidR="00BD0E31" w:rsidRPr="00BA0B45" w:rsidRDefault="00BD0E31" w:rsidP="00BD0E31">
      <w:pPr>
        <w:spacing w:line="240" w:lineRule="auto"/>
        <w:jc w:val="both"/>
        <w:rPr>
          <w:rFonts w:asciiTheme="majorHAnsi" w:hAnsiTheme="majorHAnsi" w:cstheme="majorHAnsi"/>
          <w:sz w:val="24"/>
          <w:szCs w:val="24"/>
        </w:rPr>
      </w:pPr>
    </w:p>
    <w:p w:rsidR="00BD0E31" w:rsidRPr="00BA0B45" w:rsidRDefault="00BD0E31" w:rsidP="00BD0E31">
      <w:pPr>
        <w:spacing w:line="240" w:lineRule="auto"/>
        <w:jc w:val="both"/>
        <w:rPr>
          <w:rFonts w:asciiTheme="majorHAnsi" w:hAnsiTheme="majorHAnsi" w:cstheme="majorHAnsi"/>
          <w:sz w:val="24"/>
          <w:szCs w:val="24"/>
        </w:rPr>
      </w:pPr>
    </w:p>
    <w:p w:rsidR="00BD0E31" w:rsidRPr="00BA0B45" w:rsidRDefault="00BD0E31" w:rsidP="00BD0E31">
      <w:pPr>
        <w:spacing w:line="240" w:lineRule="auto"/>
        <w:jc w:val="both"/>
        <w:rPr>
          <w:rFonts w:asciiTheme="majorHAnsi" w:hAnsiTheme="majorHAnsi" w:cstheme="majorHAnsi"/>
          <w:sz w:val="24"/>
          <w:szCs w:val="24"/>
        </w:rPr>
      </w:pPr>
    </w:p>
    <w:p w:rsidR="00BD0E31" w:rsidRPr="00BA0B45" w:rsidRDefault="00BD0E31" w:rsidP="00BD0E31">
      <w:pPr>
        <w:spacing w:line="240" w:lineRule="auto"/>
        <w:jc w:val="both"/>
        <w:rPr>
          <w:rFonts w:asciiTheme="majorHAnsi" w:hAnsiTheme="majorHAnsi" w:cstheme="majorHAnsi"/>
          <w:sz w:val="24"/>
          <w:szCs w:val="24"/>
        </w:rPr>
      </w:pPr>
    </w:p>
    <w:p w:rsidR="00BD0E31" w:rsidRPr="00BA0B45" w:rsidRDefault="00BD0E31" w:rsidP="00BD0E31">
      <w:pPr>
        <w:spacing w:line="240" w:lineRule="auto"/>
        <w:jc w:val="both"/>
        <w:rPr>
          <w:rFonts w:asciiTheme="majorHAnsi" w:hAnsiTheme="majorHAnsi" w:cstheme="majorHAnsi"/>
          <w:sz w:val="24"/>
          <w:szCs w:val="24"/>
        </w:rPr>
      </w:pPr>
    </w:p>
    <w:p w:rsidR="00BD0E31" w:rsidRPr="00BA0B45" w:rsidRDefault="00BD0E31" w:rsidP="00BD0E31">
      <w:pPr>
        <w:spacing w:line="240" w:lineRule="auto"/>
        <w:jc w:val="both"/>
        <w:rPr>
          <w:rFonts w:asciiTheme="majorHAnsi" w:hAnsiTheme="majorHAnsi" w:cstheme="majorHAnsi"/>
          <w:sz w:val="24"/>
          <w:szCs w:val="24"/>
        </w:rPr>
      </w:pPr>
    </w:p>
    <w:p w:rsidR="00BD0E31" w:rsidRPr="00BA0B45" w:rsidRDefault="00BD0E31" w:rsidP="00BD0E31">
      <w:pPr>
        <w:spacing w:line="240" w:lineRule="auto"/>
        <w:jc w:val="both"/>
        <w:rPr>
          <w:rFonts w:asciiTheme="majorHAnsi" w:hAnsiTheme="majorHAnsi" w:cstheme="majorHAnsi"/>
          <w:sz w:val="24"/>
          <w:szCs w:val="24"/>
        </w:rPr>
      </w:pPr>
    </w:p>
    <w:p w:rsidR="00BD0E31" w:rsidRPr="00BA0B45" w:rsidRDefault="00BD0E31" w:rsidP="00BD0E31">
      <w:pPr>
        <w:spacing w:line="240" w:lineRule="auto"/>
        <w:jc w:val="both"/>
        <w:rPr>
          <w:rFonts w:asciiTheme="majorHAnsi" w:hAnsiTheme="majorHAnsi" w:cstheme="majorHAnsi"/>
          <w:sz w:val="24"/>
          <w:szCs w:val="24"/>
        </w:rPr>
      </w:pPr>
    </w:p>
    <w:p w:rsidR="00BD0E31" w:rsidRPr="00BA0B45" w:rsidRDefault="00BD0E31" w:rsidP="00BD0E31">
      <w:pPr>
        <w:spacing w:line="240" w:lineRule="auto"/>
        <w:jc w:val="both"/>
        <w:rPr>
          <w:rFonts w:asciiTheme="majorHAnsi" w:hAnsiTheme="majorHAnsi" w:cstheme="majorHAnsi"/>
          <w:sz w:val="24"/>
          <w:szCs w:val="24"/>
        </w:rPr>
      </w:pPr>
    </w:p>
    <w:p w:rsidR="00BD0E31" w:rsidRPr="00BA0B45" w:rsidRDefault="00BD0E31" w:rsidP="00BD0E31">
      <w:pPr>
        <w:spacing w:line="240" w:lineRule="auto"/>
        <w:jc w:val="both"/>
        <w:rPr>
          <w:rFonts w:asciiTheme="majorHAnsi" w:hAnsiTheme="majorHAnsi" w:cstheme="majorHAnsi"/>
          <w:sz w:val="24"/>
          <w:szCs w:val="24"/>
        </w:rPr>
      </w:pPr>
    </w:p>
    <w:p w:rsidR="00BD0E31" w:rsidRPr="00BA0B45" w:rsidRDefault="00BD0E31" w:rsidP="00BD0E31">
      <w:pPr>
        <w:spacing w:line="240" w:lineRule="auto"/>
        <w:jc w:val="both"/>
        <w:rPr>
          <w:rFonts w:asciiTheme="majorHAnsi" w:hAnsiTheme="majorHAnsi" w:cstheme="majorHAnsi"/>
          <w:sz w:val="24"/>
          <w:szCs w:val="24"/>
        </w:rPr>
      </w:pPr>
    </w:p>
    <w:p w:rsidR="00BD0E31" w:rsidRPr="00BA0B45" w:rsidRDefault="00BD0E31" w:rsidP="00BD0E31">
      <w:pPr>
        <w:spacing w:line="240" w:lineRule="auto"/>
        <w:jc w:val="both"/>
        <w:rPr>
          <w:rFonts w:asciiTheme="majorHAnsi" w:hAnsiTheme="majorHAnsi" w:cstheme="majorHAnsi"/>
          <w:sz w:val="24"/>
          <w:szCs w:val="24"/>
        </w:rPr>
      </w:pPr>
    </w:p>
    <w:p w:rsidR="00BD0E31" w:rsidRPr="00BA0B45" w:rsidRDefault="00BD0E31" w:rsidP="00BD0E31">
      <w:pPr>
        <w:spacing w:line="240" w:lineRule="auto"/>
        <w:jc w:val="both"/>
        <w:rPr>
          <w:rFonts w:asciiTheme="majorHAnsi" w:hAnsiTheme="majorHAnsi" w:cstheme="majorHAnsi"/>
          <w:sz w:val="24"/>
          <w:szCs w:val="24"/>
        </w:rPr>
      </w:pPr>
    </w:p>
    <w:p w:rsidR="00BD0E31" w:rsidRPr="00BA0B45" w:rsidRDefault="00BD0E31" w:rsidP="00BD0E31">
      <w:pPr>
        <w:spacing w:line="240" w:lineRule="auto"/>
        <w:jc w:val="both"/>
        <w:rPr>
          <w:rFonts w:asciiTheme="majorHAnsi" w:hAnsiTheme="majorHAnsi" w:cstheme="majorHAnsi"/>
          <w:sz w:val="24"/>
          <w:szCs w:val="24"/>
        </w:rPr>
      </w:pPr>
    </w:p>
    <w:sectPr w:rsidR="00BD0E31" w:rsidRPr="00BA0B45" w:rsidSect="00DC36CA">
      <w:pgSz w:w="11906" w:h="16838"/>
      <w:pgMar w:top="1417" w:right="1274" w:bottom="1134" w:left="1134" w:header="708" w:footer="708" w:gutter="0"/>
      <w:pgNumType w:start="1"/>
      <w:cols w:space="72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Symbol">
    <w:panose1 w:val="05050102010706020507"/>
    <w:charset w:val="02"/>
    <w:family w:val="roman"/>
    <w:pitch w:val="variable"/>
    <w:sig w:usb0="00000000" w:usb1="10000000" w:usb2="00000000" w:usb3="00000000" w:csb0="80000000"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hyphenationZone w:val="283"/>
  <w:characterSpacingControl w:val="doNotCompress"/>
  <w:savePreviewPicture/>
  <w:compat/>
  <w:rsids>
    <w:rsidRoot w:val="000A29EC"/>
    <w:rsid w:val="000A29EC"/>
    <w:rsid w:val="000F02D8"/>
    <w:rsid w:val="00200656"/>
    <w:rsid w:val="003858F4"/>
    <w:rsid w:val="00401AE9"/>
    <w:rsid w:val="0068791A"/>
    <w:rsid w:val="006D27DA"/>
    <w:rsid w:val="00713197"/>
    <w:rsid w:val="00713B3D"/>
    <w:rsid w:val="007E6E25"/>
    <w:rsid w:val="007F1266"/>
    <w:rsid w:val="0092255F"/>
    <w:rsid w:val="009F2F06"/>
    <w:rsid w:val="00A84805"/>
    <w:rsid w:val="00AE600C"/>
    <w:rsid w:val="00B65A7F"/>
    <w:rsid w:val="00B726A2"/>
    <w:rsid w:val="00BA0B45"/>
    <w:rsid w:val="00BD0E31"/>
    <w:rsid w:val="00BE22FC"/>
    <w:rsid w:val="00D73E3B"/>
    <w:rsid w:val="00DC36CA"/>
    <w:rsid w:val="00E10F9E"/>
    <w:rsid w:val="00E4609A"/>
    <w:rsid w:val="00EE31BA"/>
    <w:rsid w:val="00EE4FB3"/>
    <w:rsid w:val="00F63481"/>
    <w:rsid w:val="00F76057"/>
    <w:rsid w:val="00FF23F4"/>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Calibri"/>
        <w:sz w:val="22"/>
        <w:szCs w:val="22"/>
        <w:lang w:val="it-IT" w:eastAsia="it-I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E17212"/>
    <w:rPr>
      <w:rFonts w:eastAsia="Times New Roman" w:cs="Times New Roman"/>
    </w:rPr>
  </w:style>
  <w:style w:type="paragraph" w:styleId="Titolo1">
    <w:name w:val="heading 1"/>
    <w:basedOn w:val="Normale"/>
    <w:next w:val="Normale"/>
    <w:uiPriority w:val="9"/>
    <w:qFormat/>
    <w:rsid w:val="00EE31BA"/>
    <w:pPr>
      <w:keepNext/>
      <w:keepLines/>
      <w:spacing w:before="480" w:after="120"/>
      <w:outlineLvl w:val="0"/>
    </w:pPr>
    <w:rPr>
      <w:b/>
      <w:sz w:val="48"/>
      <w:szCs w:val="48"/>
    </w:rPr>
  </w:style>
  <w:style w:type="paragraph" w:styleId="Titolo2">
    <w:name w:val="heading 2"/>
    <w:basedOn w:val="Normale"/>
    <w:next w:val="Normale"/>
    <w:uiPriority w:val="9"/>
    <w:semiHidden/>
    <w:unhideWhenUsed/>
    <w:qFormat/>
    <w:rsid w:val="00EE31BA"/>
    <w:pPr>
      <w:keepNext/>
      <w:keepLines/>
      <w:spacing w:before="360" w:after="80"/>
      <w:outlineLvl w:val="1"/>
    </w:pPr>
    <w:rPr>
      <w:b/>
      <w:sz w:val="36"/>
      <w:szCs w:val="36"/>
    </w:rPr>
  </w:style>
  <w:style w:type="paragraph" w:styleId="Titolo3">
    <w:name w:val="heading 3"/>
    <w:basedOn w:val="Normale"/>
    <w:next w:val="Normale"/>
    <w:uiPriority w:val="9"/>
    <w:semiHidden/>
    <w:unhideWhenUsed/>
    <w:qFormat/>
    <w:rsid w:val="00EE31BA"/>
    <w:pPr>
      <w:keepNext/>
      <w:keepLines/>
      <w:spacing w:before="280" w:after="80"/>
      <w:outlineLvl w:val="2"/>
    </w:pPr>
    <w:rPr>
      <w:b/>
      <w:sz w:val="28"/>
      <w:szCs w:val="28"/>
    </w:rPr>
  </w:style>
  <w:style w:type="paragraph" w:styleId="Titolo4">
    <w:name w:val="heading 4"/>
    <w:basedOn w:val="Normale"/>
    <w:next w:val="Normale"/>
    <w:uiPriority w:val="9"/>
    <w:semiHidden/>
    <w:unhideWhenUsed/>
    <w:qFormat/>
    <w:rsid w:val="00EE31BA"/>
    <w:pPr>
      <w:keepNext/>
      <w:keepLines/>
      <w:spacing w:before="240" w:after="40"/>
      <w:outlineLvl w:val="3"/>
    </w:pPr>
    <w:rPr>
      <w:b/>
      <w:sz w:val="24"/>
      <w:szCs w:val="24"/>
    </w:rPr>
  </w:style>
  <w:style w:type="paragraph" w:styleId="Titolo5">
    <w:name w:val="heading 5"/>
    <w:basedOn w:val="Normale"/>
    <w:next w:val="Normale"/>
    <w:uiPriority w:val="9"/>
    <w:semiHidden/>
    <w:unhideWhenUsed/>
    <w:qFormat/>
    <w:rsid w:val="00EE31BA"/>
    <w:pPr>
      <w:keepNext/>
      <w:keepLines/>
      <w:spacing w:before="220" w:after="40"/>
      <w:outlineLvl w:val="4"/>
    </w:pPr>
    <w:rPr>
      <w:b/>
    </w:rPr>
  </w:style>
  <w:style w:type="paragraph" w:styleId="Titolo6">
    <w:name w:val="heading 6"/>
    <w:basedOn w:val="Normale"/>
    <w:next w:val="Normale"/>
    <w:uiPriority w:val="9"/>
    <w:semiHidden/>
    <w:unhideWhenUsed/>
    <w:qFormat/>
    <w:rsid w:val="00EE31BA"/>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rsid w:val="00EE31BA"/>
    <w:tblPr>
      <w:tblCellMar>
        <w:top w:w="0" w:type="dxa"/>
        <w:left w:w="0" w:type="dxa"/>
        <w:bottom w:w="0" w:type="dxa"/>
        <w:right w:w="0" w:type="dxa"/>
      </w:tblCellMar>
    </w:tblPr>
  </w:style>
  <w:style w:type="paragraph" w:styleId="Titolo">
    <w:name w:val="Title"/>
    <w:basedOn w:val="Normale"/>
    <w:next w:val="Normale"/>
    <w:uiPriority w:val="10"/>
    <w:qFormat/>
    <w:rsid w:val="00EE31BA"/>
    <w:pPr>
      <w:keepNext/>
      <w:keepLines/>
      <w:spacing w:before="480" w:after="120"/>
    </w:pPr>
    <w:rPr>
      <w:b/>
      <w:sz w:val="72"/>
      <w:szCs w:val="72"/>
    </w:rPr>
  </w:style>
  <w:style w:type="character" w:styleId="Collegamentoipertestuale">
    <w:name w:val="Hyperlink"/>
    <w:basedOn w:val="Carpredefinitoparagrafo"/>
    <w:rsid w:val="00E17212"/>
    <w:rPr>
      <w:rFonts w:cs="Times New Roman"/>
      <w:color w:val="0000FF"/>
      <w:u w:val="single"/>
    </w:rPr>
  </w:style>
  <w:style w:type="paragraph" w:styleId="Intestazione">
    <w:name w:val="header"/>
    <w:basedOn w:val="Normale"/>
    <w:link w:val="IntestazioneCarattere"/>
    <w:rsid w:val="00E17212"/>
    <w:pPr>
      <w:tabs>
        <w:tab w:val="center" w:pos="4819"/>
        <w:tab w:val="right" w:pos="9638"/>
      </w:tabs>
      <w:spacing w:after="0" w:line="240" w:lineRule="auto"/>
    </w:pPr>
    <w:rPr>
      <w:rFonts w:ascii="Times New Roman" w:eastAsia="Calibri" w:hAnsi="Times New Roman"/>
      <w:sz w:val="24"/>
      <w:szCs w:val="24"/>
    </w:rPr>
  </w:style>
  <w:style w:type="character" w:customStyle="1" w:styleId="IntestazioneCarattere">
    <w:name w:val="Intestazione Carattere"/>
    <w:basedOn w:val="Carpredefinitoparagrafo"/>
    <w:link w:val="Intestazione"/>
    <w:rsid w:val="00E17212"/>
    <w:rPr>
      <w:rFonts w:ascii="Times New Roman" w:eastAsia="Calibri" w:hAnsi="Times New Roman" w:cs="Times New Roman"/>
      <w:lang w:eastAsia="it-IT"/>
    </w:rPr>
  </w:style>
  <w:style w:type="paragraph" w:customStyle="1" w:styleId="Contenutotabella">
    <w:name w:val="Contenuto tabella"/>
    <w:basedOn w:val="Normale"/>
    <w:rsid w:val="00E17212"/>
    <w:pPr>
      <w:widowControl w:val="0"/>
      <w:suppressAutoHyphens/>
      <w:spacing w:after="0" w:line="240" w:lineRule="auto"/>
    </w:pPr>
    <w:rPr>
      <w:rFonts w:ascii="Arial" w:eastAsia="Arial Unicode MS" w:hAnsi="Arial" w:cs="Arial"/>
      <w:kern w:val="2"/>
      <w:sz w:val="20"/>
      <w:szCs w:val="20"/>
      <w:lang w:eastAsia="ar-SA"/>
    </w:rPr>
  </w:style>
  <w:style w:type="paragraph" w:customStyle="1" w:styleId="Paragrafoelenco1">
    <w:name w:val="Paragrafo elenco1"/>
    <w:basedOn w:val="Normale"/>
    <w:rsid w:val="00E17212"/>
    <w:pPr>
      <w:ind w:left="720"/>
      <w:contextualSpacing/>
    </w:pPr>
  </w:style>
  <w:style w:type="paragraph" w:styleId="Paragrafoelenco">
    <w:name w:val="List Paragraph"/>
    <w:basedOn w:val="Normale"/>
    <w:rsid w:val="00E17212"/>
    <w:pPr>
      <w:ind w:left="720"/>
      <w:contextualSpacing/>
    </w:pPr>
  </w:style>
  <w:style w:type="paragraph" w:styleId="Sottotitolo">
    <w:name w:val="Subtitle"/>
    <w:basedOn w:val="Normale"/>
    <w:next w:val="Normale"/>
    <w:uiPriority w:val="11"/>
    <w:qFormat/>
    <w:rsid w:val="00EE31BA"/>
    <w:pPr>
      <w:keepNext/>
      <w:keepLines/>
      <w:spacing w:before="360" w:after="80"/>
    </w:pPr>
    <w:rPr>
      <w:rFonts w:ascii="Georgia" w:eastAsia="Georgia" w:hAnsi="Georgia" w:cs="Georgia"/>
      <w:i/>
      <w:color w:val="666666"/>
      <w:sz w:val="48"/>
      <w:szCs w:val="48"/>
    </w:rPr>
  </w:style>
  <w:style w:type="table" w:customStyle="1" w:styleId="a">
    <w:basedOn w:val="TableNormal"/>
    <w:rsid w:val="00EE31BA"/>
    <w:tblPr>
      <w:tblStyleRowBandSize w:val="1"/>
      <w:tblStyleColBandSize w:val="1"/>
      <w:tblCellMar>
        <w:top w:w="0" w:type="dxa"/>
        <w:left w:w="0" w:type="dxa"/>
        <w:bottom w:w="0" w:type="dxa"/>
        <w:right w:w="0" w:type="dxa"/>
      </w:tblCellMar>
    </w:tblPr>
  </w:style>
  <w:style w:type="paragraph" w:styleId="NormaleWeb">
    <w:name w:val="Normal (Web)"/>
    <w:basedOn w:val="Normale"/>
    <w:uiPriority w:val="99"/>
    <w:semiHidden/>
    <w:unhideWhenUsed/>
    <w:rsid w:val="00E4609A"/>
    <w:pPr>
      <w:spacing w:before="100" w:beforeAutospacing="1" w:after="100" w:afterAutospacing="1" w:line="240" w:lineRule="auto"/>
    </w:pPr>
    <w:rPr>
      <w:rFonts w:ascii="Times New Roman" w:hAnsi="Times New Roman"/>
      <w:sz w:val="24"/>
      <w:szCs w:val="24"/>
    </w:rPr>
  </w:style>
  <w:style w:type="character" w:styleId="Enfasigrassetto">
    <w:name w:val="Strong"/>
    <w:basedOn w:val="Carpredefinitoparagrafo"/>
    <w:uiPriority w:val="22"/>
    <w:qFormat/>
    <w:rsid w:val="00E4609A"/>
    <w:rPr>
      <w:b/>
      <w:bCs/>
    </w:rPr>
  </w:style>
  <w:style w:type="character" w:customStyle="1" w:styleId="UnresolvedMention">
    <w:name w:val="Unresolved Mention"/>
    <w:basedOn w:val="Carpredefinitoparagrafo"/>
    <w:uiPriority w:val="99"/>
    <w:semiHidden/>
    <w:unhideWhenUsed/>
    <w:rsid w:val="00AE600C"/>
    <w:rPr>
      <w:color w:val="605E5C"/>
      <w:shd w:val="clear" w:color="auto" w:fill="E1DFDD"/>
    </w:rPr>
  </w:style>
  <w:style w:type="table" w:styleId="Grigliatabella">
    <w:name w:val="Table Grid"/>
    <w:basedOn w:val="Tabellanormale"/>
    <w:uiPriority w:val="39"/>
    <w:rsid w:val="00BD0E3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42339376">
      <w:bodyDiv w:val="1"/>
      <w:marLeft w:val="0"/>
      <w:marRight w:val="0"/>
      <w:marTop w:val="0"/>
      <w:marBottom w:val="0"/>
      <w:divBdr>
        <w:top w:val="none" w:sz="0" w:space="0" w:color="auto"/>
        <w:left w:val="none" w:sz="0" w:space="0" w:color="auto"/>
        <w:bottom w:val="none" w:sz="0" w:space="0" w:color="auto"/>
        <w:right w:val="none" w:sz="0" w:space="0" w:color="auto"/>
      </w:divBdr>
    </w:div>
    <w:div w:id="242302780">
      <w:bodyDiv w:val="1"/>
      <w:marLeft w:val="0"/>
      <w:marRight w:val="0"/>
      <w:marTop w:val="0"/>
      <w:marBottom w:val="0"/>
      <w:divBdr>
        <w:top w:val="none" w:sz="0" w:space="0" w:color="auto"/>
        <w:left w:val="none" w:sz="0" w:space="0" w:color="auto"/>
        <w:bottom w:val="none" w:sz="0" w:space="0" w:color="auto"/>
        <w:right w:val="none" w:sz="0" w:space="0" w:color="auto"/>
      </w:divBdr>
    </w:div>
    <w:div w:id="722487218">
      <w:bodyDiv w:val="1"/>
      <w:marLeft w:val="0"/>
      <w:marRight w:val="0"/>
      <w:marTop w:val="0"/>
      <w:marBottom w:val="0"/>
      <w:divBdr>
        <w:top w:val="none" w:sz="0" w:space="0" w:color="auto"/>
        <w:left w:val="none" w:sz="0" w:space="0" w:color="auto"/>
        <w:bottom w:val="none" w:sz="0" w:space="0" w:color="auto"/>
        <w:right w:val="none" w:sz="0" w:space="0" w:color="auto"/>
      </w:divBdr>
      <w:divsChild>
        <w:div w:id="1915385372">
          <w:marLeft w:val="0"/>
          <w:marRight w:val="0"/>
          <w:marTop w:val="0"/>
          <w:marBottom w:val="120"/>
          <w:divBdr>
            <w:top w:val="none" w:sz="0" w:space="0" w:color="auto"/>
            <w:left w:val="none" w:sz="0" w:space="0" w:color="auto"/>
            <w:bottom w:val="none" w:sz="0" w:space="0" w:color="auto"/>
            <w:right w:val="none" w:sz="0" w:space="0" w:color="auto"/>
          </w:divBdr>
          <w:divsChild>
            <w:div w:id="692458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044353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2T4lxy9l8gD8V+0qbfB3B1yDa0A==">AMUW2mV/a83NyiswUglhYW/qFn+ezCSOObdH9QCu1B5Sgq6TrvLb6UgX8JyWrNkdhMVeG64VGERPPomkVk3CbK/jugPPydgTyaPXNqjloRR9eXpToLyqPo0=</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411</Words>
  <Characters>2345</Characters>
  <Application>Microsoft Office Word</Application>
  <DocSecurity>0</DocSecurity>
  <Lines>19</Lines>
  <Paragraphs>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2751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Luke Skywalker</dc:creator>
  <cp:lastModifiedBy>asus</cp:lastModifiedBy>
  <cp:revision>2</cp:revision>
  <dcterms:created xsi:type="dcterms:W3CDTF">2022-03-09T08:59:00Z</dcterms:created>
  <dcterms:modified xsi:type="dcterms:W3CDTF">2022-03-09T08:59:00Z</dcterms:modified>
</cp:coreProperties>
</file>